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FE4AC" w14:textId="77777777" w:rsidR="00465609" w:rsidRPr="00465609" w:rsidRDefault="00465609" w:rsidP="00465609">
      <w:pPr>
        <w:spacing w:before="100" w:beforeAutospacing="1" w:after="100" w:afterAutospacing="1"/>
        <w:jc w:val="left"/>
        <w:outlineLvl w:val="1"/>
        <w:rPr>
          <w:rFonts w:asciiTheme="minorHAnsi" w:eastAsia="Times New Roman" w:hAnsiTheme="minorHAnsi"/>
          <w:sz w:val="32"/>
          <w:szCs w:val="32"/>
          <w:lang w:eastAsia="en-GB"/>
        </w:rPr>
      </w:pPr>
      <w:r w:rsidRPr="00465609">
        <w:rPr>
          <w:rFonts w:asciiTheme="minorHAnsi" w:eastAsia="Times New Roman" w:hAnsiTheme="minorHAnsi"/>
          <w:sz w:val="32"/>
          <w:szCs w:val="32"/>
          <w:lang w:eastAsia="en-GB"/>
        </w:rPr>
        <w:t>Change of PCC Treasurer or Incumbent</w:t>
      </w:r>
    </w:p>
    <w:p w14:paraId="71E45C58" w14:textId="6F84B5FF" w:rsidR="00465609" w:rsidRPr="00465609" w:rsidRDefault="00465609" w:rsidP="00465609">
      <w:pPr>
        <w:jc w:val="left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65609">
        <w:rPr>
          <w:rFonts w:asciiTheme="majorHAnsi" w:eastAsia="Times New Roman" w:hAnsiTheme="majorHAnsi" w:cstheme="majorHAnsi"/>
          <w:sz w:val="24"/>
          <w:szCs w:val="24"/>
          <w:lang w:eastAsia="en-GB"/>
        </w:rPr>
        <w:t>The following is a checklist to aid PCC Treasurers on the retirement of:</w:t>
      </w:r>
    </w:p>
    <w:p w14:paraId="7CFDCC2D" w14:textId="77777777" w:rsidR="00465609" w:rsidRPr="00465609" w:rsidRDefault="00465609" w:rsidP="00465609">
      <w:pPr>
        <w:pStyle w:val="ListParagraph"/>
        <w:numPr>
          <w:ilvl w:val="0"/>
          <w:numId w:val="1"/>
        </w:numPr>
        <w:ind w:left="714" w:hanging="357"/>
        <w:jc w:val="left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65609">
        <w:rPr>
          <w:rFonts w:asciiTheme="majorHAnsi" w:eastAsia="Times New Roman" w:hAnsiTheme="majorHAnsi" w:cstheme="majorHAnsi"/>
          <w:sz w:val="24"/>
          <w:szCs w:val="24"/>
          <w:lang w:eastAsia="en-GB"/>
        </w:rPr>
        <w:t>a retiring Treasurer or Incumbent, or</w:t>
      </w:r>
    </w:p>
    <w:p w14:paraId="2F8ED814" w14:textId="77777777" w:rsidR="00465609" w:rsidRPr="00465609" w:rsidRDefault="00465609" w:rsidP="00465609">
      <w:pPr>
        <w:pStyle w:val="ListParagraph"/>
        <w:numPr>
          <w:ilvl w:val="0"/>
          <w:numId w:val="1"/>
        </w:numPr>
        <w:ind w:left="714" w:hanging="357"/>
        <w:jc w:val="left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465609">
        <w:rPr>
          <w:rFonts w:asciiTheme="majorHAnsi" w:eastAsia="Times New Roman" w:hAnsiTheme="majorHAnsi" w:cstheme="majorHAnsi"/>
          <w:sz w:val="24"/>
          <w:szCs w:val="24"/>
          <w:lang w:eastAsia="en-GB"/>
        </w:rPr>
        <w:t>any person dealing with receipts and payments.</w:t>
      </w:r>
    </w:p>
    <w:p w14:paraId="3D7D57EE" w14:textId="77777777" w:rsidR="00465609" w:rsidRPr="005E28C2" w:rsidRDefault="00465609" w:rsidP="00465609"/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448"/>
      </w:tblGrid>
      <w:tr w:rsidR="00465609" w:rsidRPr="009D45A4" w14:paraId="7ABDD3D1" w14:textId="77777777" w:rsidTr="00234899">
        <w:tc>
          <w:tcPr>
            <w:tcW w:w="534" w:type="dxa"/>
            <w:shd w:val="clear" w:color="auto" w:fill="auto"/>
          </w:tcPr>
          <w:p w14:paraId="0CA32573" w14:textId="77777777" w:rsidR="00465609" w:rsidRPr="009D45A4" w:rsidRDefault="00465609" w:rsidP="00234899">
            <w:r w:rsidRPr="009D45A4">
              <w:t>1</w:t>
            </w:r>
          </w:p>
        </w:tc>
        <w:tc>
          <w:tcPr>
            <w:tcW w:w="8505" w:type="dxa"/>
            <w:shd w:val="clear" w:color="auto" w:fill="auto"/>
          </w:tcPr>
          <w:p w14:paraId="5E04E45D" w14:textId="5146DCDD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Obtain possession of all cash balances, counting in the presence of the person retiring and give a written receipt, keeping a copy for PCC records.</w:t>
            </w:r>
          </w:p>
        </w:tc>
        <w:tc>
          <w:tcPr>
            <w:tcW w:w="448" w:type="dxa"/>
            <w:shd w:val="clear" w:color="auto" w:fill="auto"/>
          </w:tcPr>
          <w:p w14:paraId="7CB9B0BA" w14:textId="77777777" w:rsidR="00465609" w:rsidRPr="009D45A4" w:rsidRDefault="00465609" w:rsidP="00234899"/>
        </w:tc>
      </w:tr>
      <w:tr w:rsidR="00465609" w:rsidRPr="009D45A4" w14:paraId="31BDFBD5" w14:textId="77777777" w:rsidTr="00234899">
        <w:tc>
          <w:tcPr>
            <w:tcW w:w="534" w:type="dxa"/>
            <w:shd w:val="clear" w:color="auto" w:fill="auto"/>
          </w:tcPr>
          <w:p w14:paraId="5F73E9B1" w14:textId="77777777" w:rsidR="00465609" w:rsidRPr="009D45A4" w:rsidRDefault="00465609" w:rsidP="00234899">
            <w:r w:rsidRPr="009D45A4">
              <w:t>2</w:t>
            </w:r>
          </w:p>
        </w:tc>
        <w:tc>
          <w:tcPr>
            <w:tcW w:w="8505" w:type="dxa"/>
            <w:shd w:val="clear" w:color="auto" w:fill="auto"/>
          </w:tcPr>
          <w:p w14:paraId="2EC92F2E" w14:textId="2693F369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Ask for a signed list of all monies owing to the parish to the best of the knowledge of the person retiring.</w:t>
            </w:r>
          </w:p>
        </w:tc>
        <w:tc>
          <w:tcPr>
            <w:tcW w:w="448" w:type="dxa"/>
            <w:shd w:val="clear" w:color="auto" w:fill="auto"/>
          </w:tcPr>
          <w:p w14:paraId="7723C15D" w14:textId="77777777" w:rsidR="00465609" w:rsidRPr="009D45A4" w:rsidRDefault="00465609" w:rsidP="00234899"/>
        </w:tc>
      </w:tr>
      <w:tr w:rsidR="00465609" w:rsidRPr="009D45A4" w14:paraId="56959C64" w14:textId="77777777" w:rsidTr="00234899">
        <w:tc>
          <w:tcPr>
            <w:tcW w:w="534" w:type="dxa"/>
            <w:shd w:val="clear" w:color="auto" w:fill="auto"/>
          </w:tcPr>
          <w:p w14:paraId="6072D559" w14:textId="77777777" w:rsidR="00465609" w:rsidRPr="009D45A4" w:rsidRDefault="00465609" w:rsidP="00234899">
            <w:r w:rsidRPr="009D45A4">
              <w:t>3</w:t>
            </w:r>
          </w:p>
        </w:tc>
        <w:tc>
          <w:tcPr>
            <w:tcW w:w="8505" w:type="dxa"/>
            <w:shd w:val="clear" w:color="auto" w:fill="auto"/>
          </w:tcPr>
          <w:p w14:paraId="42D939E4" w14:textId="14EDD6EB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Ask for a signed list of all creditors owed by the parish to the best of the knowledge of the person retiring.</w:t>
            </w:r>
          </w:p>
        </w:tc>
        <w:tc>
          <w:tcPr>
            <w:tcW w:w="448" w:type="dxa"/>
            <w:shd w:val="clear" w:color="auto" w:fill="auto"/>
          </w:tcPr>
          <w:p w14:paraId="228EAD28" w14:textId="77777777" w:rsidR="00465609" w:rsidRPr="009D45A4" w:rsidRDefault="00465609" w:rsidP="00234899"/>
        </w:tc>
      </w:tr>
      <w:tr w:rsidR="00465609" w:rsidRPr="009D45A4" w14:paraId="71EBC026" w14:textId="77777777" w:rsidTr="00234899">
        <w:tc>
          <w:tcPr>
            <w:tcW w:w="534" w:type="dxa"/>
            <w:shd w:val="clear" w:color="auto" w:fill="auto"/>
          </w:tcPr>
          <w:p w14:paraId="449D7F65" w14:textId="77777777" w:rsidR="00465609" w:rsidRPr="009D45A4" w:rsidRDefault="00465609" w:rsidP="00234899">
            <w:r w:rsidRPr="009D45A4">
              <w:t>4</w:t>
            </w:r>
          </w:p>
        </w:tc>
        <w:tc>
          <w:tcPr>
            <w:tcW w:w="8505" w:type="dxa"/>
            <w:shd w:val="clear" w:color="auto" w:fill="auto"/>
          </w:tcPr>
          <w:p w14:paraId="038131AF" w14:textId="035AABB3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Ask for a signed list of all bank and investment accounts operated by the parish and the signing arrangements, and take possession of all bank statements, passbooks, etc.</w:t>
            </w:r>
          </w:p>
        </w:tc>
        <w:tc>
          <w:tcPr>
            <w:tcW w:w="448" w:type="dxa"/>
            <w:shd w:val="clear" w:color="auto" w:fill="auto"/>
          </w:tcPr>
          <w:p w14:paraId="0E5BC6F1" w14:textId="77777777" w:rsidR="00465609" w:rsidRPr="009D45A4" w:rsidRDefault="00465609" w:rsidP="00234899"/>
        </w:tc>
      </w:tr>
      <w:tr w:rsidR="00465609" w:rsidRPr="009D45A4" w14:paraId="423A780C" w14:textId="77777777" w:rsidTr="00234899">
        <w:tc>
          <w:tcPr>
            <w:tcW w:w="534" w:type="dxa"/>
            <w:shd w:val="clear" w:color="auto" w:fill="auto"/>
          </w:tcPr>
          <w:p w14:paraId="7C375F46" w14:textId="77777777" w:rsidR="00465609" w:rsidRPr="009D45A4" w:rsidRDefault="00465609" w:rsidP="00234899">
            <w:r w:rsidRPr="009D45A4">
              <w:t>5</w:t>
            </w:r>
          </w:p>
        </w:tc>
        <w:tc>
          <w:tcPr>
            <w:tcW w:w="8505" w:type="dxa"/>
            <w:shd w:val="clear" w:color="auto" w:fill="auto"/>
          </w:tcPr>
          <w:p w14:paraId="354601BA" w14:textId="48799997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Obtain all unused cheque books and bank paying-in books.</w:t>
            </w:r>
          </w:p>
        </w:tc>
        <w:tc>
          <w:tcPr>
            <w:tcW w:w="448" w:type="dxa"/>
            <w:shd w:val="clear" w:color="auto" w:fill="auto"/>
          </w:tcPr>
          <w:p w14:paraId="59BCFCC8" w14:textId="77777777" w:rsidR="00465609" w:rsidRPr="009D45A4" w:rsidRDefault="00465609" w:rsidP="00234899"/>
        </w:tc>
      </w:tr>
      <w:tr w:rsidR="00465609" w:rsidRPr="009D45A4" w14:paraId="7453D3AC" w14:textId="77777777" w:rsidTr="00234899">
        <w:tc>
          <w:tcPr>
            <w:tcW w:w="534" w:type="dxa"/>
            <w:shd w:val="clear" w:color="auto" w:fill="auto"/>
          </w:tcPr>
          <w:p w14:paraId="581C33B5" w14:textId="77777777" w:rsidR="00465609" w:rsidRPr="009D45A4" w:rsidRDefault="00465609" w:rsidP="00234899">
            <w:r w:rsidRPr="009D45A4">
              <w:t>6</w:t>
            </w:r>
          </w:p>
        </w:tc>
        <w:tc>
          <w:tcPr>
            <w:tcW w:w="8505" w:type="dxa"/>
            <w:shd w:val="clear" w:color="auto" w:fill="auto"/>
          </w:tcPr>
          <w:p w14:paraId="76782139" w14:textId="7C060C18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Immediately change signatories on all bank and investment accounts, following PCC resolution.</w:t>
            </w:r>
          </w:p>
        </w:tc>
        <w:tc>
          <w:tcPr>
            <w:tcW w:w="448" w:type="dxa"/>
            <w:shd w:val="clear" w:color="auto" w:fill="auto"/>
          </w:tcPr>
          <w:p w14:paraId="799F6E35" w14:textId="77777777" w:rsidR="00465609" w:rsidRPr="009D45A4" w:rsidRDefault="00465609" w:rsidP="00234899"/>
        </w:tc>
      </w:tr>
      <w:tr w:rsidR="00465609" w:rsidRPr="009D45A4" w14:paraId="140150AC" w14:textId="77777777" w:rsidTr="00234899">
        <w:tc>
          <w:tcPr>
            <w:tcW w:w="534" w:type="dxa"/>
            <w:shd w:val="clear" w:color="auto" w:fill="auto"/>
          </w:tcPr>
          <w:p w14:paraId="4EEC6764" w14:textId="77777777" w:rsidR="00465609" w:rsidRPr="009D45A4" w:rsidRDefault="00465609" w:rsidP="00234899">
            <w:r w:rsidRPr="009D45A4">
              <w:t>7</w:t>
            </w:r>
          </w:p>
        </w:tc>
        <w:tc>
          <w:tcPr>
            <w:tcW w:w="8505" w:type="dxa"/>
            <w:shd w:val="clear" w:color="auto" w:fill="auto"/>
          </w:tcPr>
          <w:p w14:paraId="71A9BD1D" w14:textId="0F0AF78C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If dividends/interest from investments are not mandated direct to bank accounts, advise payer of any change of address.</w:t>
            </w:r>
          </w:p>
        </w:tc>
        <w:tc>
          <w:tcPr>
            <w:tcW w:w="448" w:type="dxa"/>
            <w:shd w:val="clear" w:color="auto" w:fill="auto"/>
          </w:tcPr>
          <w:p w14:paraId="17C8F8E6" w14:textId="77777777" w:rsidR="00465609" w:rsidRPr="009D45A4" w:rsidRDefault="00465609" w:rsidP="00234899"/>
        </w:tc>
      </w:tr>
      <w:tr w:rsidR="00465609" w:rsidRPr="009D45A4" w14:paraId="5FE47462" w14:textId="77777777" w:rsidTr="00234899">
        <w:tc>
          <w:tcPr>
            <w:tcW w:w="534" w:type="dxa"/>
            <w:shd w:val="clear" w:color="auto" w:fill="auto"/>
          </w:tcPr>
          <w:p w14:paraId="1180840B" w14:textId="77777777" w:rsidR="00465609" w:rsidRPr="009D45A4" w:rsidRDefault="00465609" w:rsidP="00234899">
            <w:r w:rsidRPr="009D45A4">
              <w:t>8</w:t>
            </w:r>
          </w:p>
        </w:tc>
        <w:tc>
          <w:tcPr>
            <w:tcW w:w="8505" w:type="dxa"/>
            <w:shd w:val="clear" w:color="auto" w:fill="auto"/>
          </w:tcPr>
          <w:p w14:paraId="2E6ACFA9" w14:textId="32C76F08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Obtain a signed list of accounting/record books kept by the person retiring and take possession, together with receipt books, cash book and vouchers, etc.</w:t>
            </w:r>
          </w:p>
        </w:tc>
        <w:tc>
          <w:tcPr>
            <w:tcW w:w="448" w:type="dxa"/>
            <w:shd w:val="clear" w:color="auto" w:fill="auto"/>
          </w:tcPr>
          <w:p w14:paraId="52AD5D63" w14:textId="77777777" w:rsidR="00465609" w:rsidRPr="009D45A4" w:rsidRDefault="00465609" w:rsidP="00234899"/>
        </w:tc>
      </w:tr>
      <w:tr w:rsidR="00465609" w:rsidRPr="009D45A4" w14:paraId="2709A83D" w14:textId="77777777" w:rsidTr="00234899">
        <w:tc>
          <w:tcPr>
            <w:tcW w:w="534" w:type="dxa"/>
            <w:shd w:val="clear" w:color="auto" w:fill="auto"/>
          </w:tcPr>
          <w:p w14:paraId="5A51B023" w14:textId="77777777" w:rsidR="00465609" w:rsidRPr="009D45A4" w:rsidRDefault="00465609" w:rsidP="00234899">
            <w:r w:rsidRPr="009D45A4">
              <w:t>9</w:t>
            </w:r>
          </w:p>
        </w:tc>
        <w:tc>
          <w:tcPr>
            <w:tcW w:w="8505" w:type="dxa"/>
            <w:shd w:val="clear" w:color="auto" w:fill="auto"/>
          </w:tcPr>
          <w:p w14:paraId="2B380BA9" w14:textId="72D3D4E4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Check the position concerning the income tax repayment claims on Gift Aid and the Gift Aid Small Donations Scheme (GASDS)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 a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nd verify the information they will require if asked to deal with future claims.</w:t>
            </w:r>
          </w:p>
        </w:tc>
        <w:tc>
          <w:tcPr>
            <w:tcW w:w="448" w:type="dxa"/>
            <w:shd w:val="clear" w:color="auto" w:fill="auto"/>
          </w:tcPr>
          <w:p w14:paraId="20242E1C" w14:textId="77777777" w:rsidR="00465609" w:rsidRPr="009D45A4" w:rsidRDefault="00465609" w:rsidP="00234899"/>
        </w:tc>
      </w:tr>
      <w:tr w:rsidR="00465609" w:rsidRPr="009D45A4" w14:paraId="037EDDF8" w14:textId="77777777" w:rsidTr="00234899">
        <w:tc>
          <w:tcPr>
            <w:tcW w:w="534" w:type="dxa"/>
            <w:shd w:val="clear" w:color="auto" w:fill="auto"/>
          </w:tcPr>
          <w:p w14:paraId="3887EB40" w14:textId="77777777" w:rsidR="00465609" w:rsidRPr="009D45A4" w:rsidRDefault="00465609" w:rsidP="00234899">
            <w:r w:rsidRPr="009D45A4">
              <w:t>10</w:t>
            </w:r>
          </w:p>
        </w:tc>
        <w:tc>
          <w:tcPr>
            <w:tcW w:w="8505" w:type="dxa"/>
            <w:shd w:val="clear" w:color="auto" w:fill="auto"/>
          </w:tcPr>
          <w:p w14:paraId="56DD97E8" w14:textId="6F3C2F16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Check whether the PCC is, or controls, a registered charity. If so, make sure that the Charity Commissioners Regulations/SORP are applied and make any necessary changes to trustees.</w:t>
            </w:r>
          </w:p>
        </w:tc>
        <w:tc>
          <w:tcPr>
            <w:tcW w:w="448" w:type="dxa"/>
            <w:shd w:val="clear" w:color="auto" w:fill="auto"/>
          </w:tcPr>
          <w:p w14:paraId="0E198137" w14:textId="77777777" w:rsidR="00465609" w:rsidRPr="009D45A4" w:rsidRDefault="00465609" w:rsidP="00234899"/>
        </w:tc>
      </w:tr>
      <w:tr w:rsidR="00465609" w:rsidRPr="009D45A4" w14:paraId="6E3A0B15" w14:textId="77777777" w:rsidTr="00234899">
        <w:tc>
          <w:tcPr>
            <w:tcW w:w="534" w:type="dxa"/>
            <w:shd w:val="clear" w:color="auto" w:fill="auto"/>
          </w:tcPr>
          <w:p w14:paraId="35163568" w14:textId="77777777" w:rsidR="00465609" w:rsidRPr="009D45A4" w:rsidRDefault="00465609" w:rsidP="00234899">
            <w:r w:rsidRPr="009D45A4">
              <w:t>11</w:t>
            </w:r>
          </w:p>
        </w:tc>
        <w:tc>
          <w:tcPr>
            <w:tcW w:w="8505" w:type="dxa"/>
            <w:shd w:val="clear" w:color="auto" w:fill="auto"/>
          </w:tcPr>
          <w:p w14:paraId="300BA71B" w14:textId="77F6CD4E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Where there is a new PCC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t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reasurer, ensure that:</w:t>
            </w:r>
          </w:p>
          <w:p w14:paraId="4A1685DC" w14:textId="653D5944" w:rsidR="00465609" w:rsidRPr="00465609" w:rsidRDefault="00465609" w:rsidP="0046560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the deanery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t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reasurer and the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iocesan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s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ecretary are notified; and</w:t>
            </w:r>
          </w:p>
          <w:p w14:paraId="4C951CF4" w14:textId="0E157B13" w:rsidR="00465609" w:rsidRPr="00465609" w:rsidRDefault="00465609" w:rsidP="0046560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these guidelines and the handbook entitled ‘PCC Accountability, The Charities Act 2011 and the PCC’ are handed to the new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t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reasurer.</w:t>
            </w:r>
          </w:p>
        </w:tc>
        <w:tc>
          <w:tcPr>
            <w:tcW w:w="448" w:type="dxa"/>
            <w:shd w:val="clear" w:color="auto" w:fill="auto"/>
          </w:tcPr>
          <w:p w14:paraId="0F84A1A6" w14:textId="77777777" w:rsidR="00465609" w:rsidRPr="009D45A4" w:rsidRDefault="00465609" w:rsidP="00234899"/>
        </w:tc>
      </w:tr>
      <w:tr w:rsidR="00465609" w:rsidRPr="009D45A4" w14:paraId="45A2E16B" w14:textId="77777777" w:rsidTr="00234899">
        <w:tc>
          <w:tcPr>
            <w:tcW w:w="534" w:type="dxa"/>
            <w:shd w:val="clear" w:color="auto" w:fill="auto"/>
          </w:tcPr>
          <w:p w14:paraId="43C82428" w14:textId="77777777" w:rsidR="00465609" w:rsidRPr="009D45A4" w:rsidRDefault="00465609" w:rsidP="00234899">
            <w:r w:rsidRPr="009D45A4">
              <w:t>12</w:t>
            </w:r>
          </w:p>
        </w:tc>
        <w:tc>
          <w:tcPr>
            <w:tcW w:w="8505" w:type="dxa"/>
            <w:shd w:val="clear" w:color="auto" w:fill="auto"/>
          </w:tcPr>
          <w:p w14:paraId="14A1BFD7" w14:textId="0EC0CA44" w:rsidR="00465609" w:rsidRPr="00465609" w:rsidRDefault="00465609" w:rsidP="00465609">
            <w:pPr>
              <w:jc w:val="left"/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In cases of difficulty regarding the changeover, assistance and advice can be obtained from the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eanery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t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reasurer or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d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iocesan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f</w:t>
            </w:r>
            <w:r w:rsidRPr="00465609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inance team.</w:t>
            </w:r>
          </w:p>
        </w:tc>
        <w:tc>
          <w:tcPr>
            <w:tcW w:w="448" w:type="dxa"/>
            <w:shd w:val="clear" w:color="auto" w:fill="auto"/>
          </w:tcPr>
          <w:p w14:paraId="1C495DDE" w14:textId="77777777" w:rsidR="00465609" w:rsidRPr="009D45A4" w:rsidRDefault="00465609" w:rsidP="00234899"/>
        </w:tc>
      </w:tr>
    </w:tbl>
    <w:p w14:paraId="01A6A61F" w14:textId="7AB2C802" w:rsidR="00317D65" w:rsidRPr="00465609" w:rsidRDefault="00317D65" w:rsidP="00465609"/>
    <w:sectPr w:rsidR="00317D65" w:rsidRPr="00465609" w:rsidSect="00317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3D2E4" w14:textId="77777777" w:rsidR="00465609" w:rsidRDefault="00465609" w:rsidP="00AE17AC">
      <w:r>
        <w:separator/>
      </w:r>
    </w:p>
  </w:endnote>
  <w:endnote w:type="continuationSeparator" w:id="0">
    <w:p w14:paraId="2BFD5AE1" w14:textId="77777777" w:rsidR="00465609" w:rsidRDefault="00465609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9633E" w14:textId="77777777" w:rsidR="00463CEB" w:rsidRDefault="00463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FE5B" w14:textId="77777777" w:rsidR="00463CEB" w:rsidRDefault="00463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B814" w14:textId="77777777" w:rsidR="00317D65" w:rsidRPr="00D6648F" w:rsidRDefault="00317D65" w:rsidP="00317D65">
    <w:pPr>
      <w:pStyle w:val="DIOCESEFooterWeb"/>
    </w:pPr>
    <w:r w:rsidRPr="00D6648F">
      <w:t>www.bathandwells.org.uk</w:t>
    </w:r>
  </w:p>
  <w:p w14:paraId="4BF1A62A" w14:textId="77777777" w:rsidR="00317D65" w:rsidRDefault="00317D65" w:rsidP="00317D65">
    <w:pPr>
      <w:pStyle w:val="DIOCESEFooterSmallPrint"/>
      <w:rPr>
        <w:b/>
      </w:rPr>
    </w:pPr>
  </w:p>
  <w:p w14:paraId="10807D5D" w14:textId="77777777" w:rsidR="00317D65" w:rsidRPr="00317D65" w:rsidRDefault="00317D65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50070FEB" wp14:editId="39FA9D16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F9161" w14:textId="77777777" w:rsidR="00465609" w:rsidRDefault="00465609" w:rsidP="00AE17AC">
      <w:r>
        <w:separator/>
      </w:r>
    </w:p>
  </w:footnote>
  <w:footnote w:type="continuationSeparator" w:id="0">
    <w:p w14:paraId="1287290C" w14:textId="77777777" w:rsidR="00465609" w:rsidRDefault="00465609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E1525" w14:textId="7428BA9B" w:rsidR="00D6648F" w:rsidRDefault="00465609">
    <w:r>
      <w:rPr>
        <w:noProof/>
      </w:rPr>
      <w:drawing>
        <wp:anchor distT="0" distB="0" distL="114300" distR="114300" simplePos="0" relativeHeight="251662336" behindDoc="1" locked="0" layoutInCell="1" allowOverlap="1" wp14:anchorId="500CEEDE" wp14:editId="74AEE2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8651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C84">
      <w:rPr>
        <w:noProof/>
      </w:rPr>
      <w:pict w14:anchorId="1B349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6648F">
          <w:t>[Type text]</w:t>
        </w:r>
      </w:sdtContent>
    </w:sdt>
  </w:p>
  <w:p w14:paraId="574E02FC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87038" w14:textId="77777777" w:rsidR="00463CEB" w:rsidRDefault="00463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648CD" w14:textId="22C6E44F" w:rsidR="00317D65" w:rsidRDefault="00465609" w:rsidP="00317D65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B878D34" wp14:editId="52B271DC">
          <wp:simplePos x="0" y="0"/>
          <wp:positionH relativeFrom="margin">
            <wp:posOffset>-721360</wp:posOffset>
          </wp:positionH>
          <wp:positionV relativeFrom="margin">
            <wp:posOffset>-2157730</wp:posOffset>
          </wp:positionV>
          <wp:extent cx="6116320" cy="8651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5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D65">
      <w:rPr>
        <w:noProof/>
        <w:lang w:eastAsia="en-GB"/>
      </w:rPr>
      <w:drawing>
        <wp:inline distT="0" distB="0" distL="0" distR="0" wp14:anchorId="2A40D4BD" wp14:editId="142E3021">
          <wp:extent cx="2340000" cy="716154"/>
          <wp:effectExtent l="0" t="0" r="3175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3D849" w14:textId="77777777" w:rsidR="00317D65" w:rsidRDefault="00317D65" w:rsidP="00317D65">
    <w:pPr>
      <w:pStyle w:val="Header"/>
      <w:jc w:val="right"/>
    </w:pPr>
  </w:p>
  <w:p w14:paraId="79ED2D00" w14:textId="77777777" w:rsidR="00317D65" w:rsidRDefault="00317D65" w:rsidP="00317D65">
    <w:pPr>
      <w:pStyle w:val="Header"/>
      <w:jc w:val="right"/>
    </w:pPr>
  </w:p>
  <w:p w14:paraId="1AE459F5" w14:textId="77777777" w:rsidR="00317D65" w:rsidRDefault="00317D65" w:rsidP="00317D65">
    <w:pPr>
      <w:pStyle w:val="Header"/>
      <w:jc w:val="right"/>
    </w:pPr>
  </w:p>
  <w:p w14:paraId="455BC746" w14:textId="77777777" w:rsidR="00D6648F" w:rsidRDefault="00BE6C84" w:rsidP="00317D65">
    <w:pPr>
      <w:pStyle w:val="Header"/>
      <w:jc w:val="right"/>
    </w:pPr>
    <w:r>
      <w:rPr>
        <w:noProof/>
      </w:rPr>
      <w:pict w14:anchorId="4AF91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10FBD"/>
    <w:multiLevelType w:val="hybridMultilevel"/>
    <w:tmpl w:val="DA82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52A16"/>
    <w:multiLevelType w:val="hybridMultilevel"/>
    <w:tmpl w:val="AB2C216E"/>
    <w:lvl w:ilvl="0" w:tplc="0809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09"/>
    <w:rsid w:val="0015190F"/>
    <w:rsid w:val="001E6636"/>
    <w:rsid w:val="00201A23"/>
    <w:rsid w:val="00291793"/>
    <w:rsid w:val="00302930"/>
    <w:rsid w:val="00317D65"/>
    <w:rsid w:val="003927B7"/>
    <w:rsid w:val="00463CEB"/>
    <w:rsid w:val="00465609"/>
    <w:rsid w:val="00486B5E"/>
    <w:rsid w:val="00507CF1"/>
    <w:rsid w:val="005128A4"/>
    <w:rsid w:val="00521609"/>
    <w:rsid w:val="005C49C8"/>
    <w:rsid w:val="006C0B06"/>
    <w:rsid w:val="006D47CA"/>
    <w:rsid w:val="00703841"/>
    <w:rsid w:val="00856644"/>
    <w:rsid w:val="008833D5"/>
    <w:rsid w:val="008B0AFA"/>
    <w:rsid w:val="00916C45"/>
    <w:rsid w:val="00A60F5B"/>
    <w:rsid w:val="00A614AD"/>
    <w:rsid w:val="00AE17AC"/>
    <w:rsid w:val="00AF72E4"/>
    <w:rsid w:val="00B26958"/>
    <w:rsid w:val="00BE6C84"/>
    <w:rsid w:val="00C42AE4"/>
    <w:rsid w:val="00D62AD1"/>
    <w:rsid w:val="00D6648F"/>
    <w:rsid w:val="00E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4BD8CFA"/>
  <w14:defaultImageDpi w14:val="300"/>
  <w15:docId w15:val="{C6375412-110E-46AD-AD13-E3A1CBB7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09"/>
    <w:pPr>
      <w:jc w:val="both"/>
    </w:pPr>
    <w:rPr>
      <w:rFonts w:ascii="Franklin Gothic Book" w:eastAsia="Calibri" w:hAnsi="Franklin Gothic Book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46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motl\Documents\Custom%20Office%20Templates\A4%20Headed%20Paper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99C674-92EC-4F7F-A77B-5805C65D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Headed Paper Plain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Willmot</dc:creator>
  <cp:lastModifiedBy>Louise Willmot</cp:lastModifiedBy>
  <cp:revision>2</cp:revision>
  <cp:lastPrinted>2016-12-09T13:34:00Z</cp:lastPrinted>
  <dcterms:created xsi:type="dcterms:W3CDTF">2021-02-16T14:36:00Z</dcterms:created>
  <dcterms:modified xsi:type="dcterms:W3CDTF">2021-02-16T14:36:00Z</dcterms:modified>
</cp:coreProperties>
</file>